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9951CF" w14:textId="52B9BB20"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36080C">
        <w:rPr>
          <w:rFonts w:ascii="Times New Roman" w:hAnsi="Times New Roman" w:cs="Times New Roman"/>
          <w:highlight w:val="yellow"/>
          <w:u w:val="single"/>
        </w:rPr>
        <w:t>2</w:t>
      </w:r>
      <w:r w:rsidRPr="006B14CA">
        <w:rPr>
          <w:rFonts w:ascii="Times New Roman" w:hAnsi="Times New Roman" w:cs="Times New Roman"/>
          <w:highlight w:val="yellow"/>
          <w:u w:val="single"/>
        </w:rPr>
        <w:t xml:space="preserve"> </w:t>
      </w:r>
      <w:r w:rsidR="00E72E58">
        <w:rPr>
          <w:rFonts w:ascii="Times New Roman" w:hAnsi="Times New Roman" w:cs="Times New Roman"/>
          <w:highlight w:val="yellow"/>
          <w:u w:val="single"/>
        </w:rPr>
        <w:t xml:space="preserve">Planning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 xml:space="preserve">Due </w:t>
      </w:r>
      <w:r w:rsidR="0036080C">
        <w:rPr>
          <w:rFonts w:ascii="Times New Roman" w:hAnsi="Times New Roman" w:cs="Times New Roman"/>
          <w:sz w:val="32"/>
          <w:szCs w:val="32"/>
          <w:highlight w:val="yellow"/>
          <w:u w:val="single"/>
        </w:rPr>
        <w:t>Tue</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 xml:space="preserve">June </w:t>
      </w:r>
      <w:r w:rsidR="0036080C">
        <w:rPr>
          <w:rFonts w:ascii="Times New Roman" w:hAnsi="Times New Roman" w:cs="Times New Roman"/>
          <w:sz w:val="32"/>
          <w:szCs w:val="32"/>
          <w:highlight w:val="yellow"/>
          <w:u w:val="single"/>
        </w:rPr>
        <w:t>09</w:t>
      </w:r>
      <w:r w:rsidR="00AF6B4D" w:rsidRPr="00AF6B4D">
        <w:rPr>
          <w:rFonts w:ascii="Times New Roman" w:hAnsi="Times New Roman" w:cs="Times New Roman"/>
          <w:sz w:val="32"/>
          <w:szCs w:val="32"/>
          <w:highlight w:val="yellow"/>
          <w:u w:val="single"/>
        </w:rPr>
        <w:t>,</w:t>
      </w:r>
      <w:r w:rsidR="0036080C">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p>
    <w:p w14:paraId="7CD49895" w14:textId="3F583EE3" w:rsidR="00BB3BEF" w:rsidRDefault="00BB3BEF" w:rsidP="00BB3BEF">
      <w:pPr>
        <w:rPr>
          <w:rFonts w:ascii="Times New Roman" w:hAnsi="Times New Roman" w:cs="Times New Roman"/>
          <w:sz w:val="18"/>
          <w:szCs w:val="18"/>
        </w:rPr>
      </w:pPr>
    </w:p>
    <w:p w14:paraId="55C732DB" w14:textId="5EC09E8F" w:rsidR="00E72E58" w:rsidRPr="00E72E58" w:rsidRDefault="0036080C" w:rsidP="00E72E58">
      <w:pPr>
        <w:rPr>
          <w:rFonts w:ascii="Times New Roman" w:hAnsi="Times New Roman" w:cs="Times New Roman"/>
          <w:sz w:val="22"/>
          <w:szCs w:val="22"/>
        </w:rPr>
      </w:pPr>
      <w:r w:rsidRPr="0036080C">
        <w:rPr>
          <w:rFonts w:ascii="Times New Roman" w:hAnsi="Times New Roman" w:cs="Times New Roman"/>
          <w:sz w:val="22"/>
          <w:szCs w:val="22"/>
        </w:rPr>
        <w:t>According to you, which paradigm is more suitable to do an evaluation research in criminal justice organizations?  Why and How?</w:t>
      </w:r>
    </w:p>
    <w:p w14:paraId="1E0376B7" w14:textId="1978FE91" w:rsidR="00D10729" w:rsidRDefault="005B1D04" w:rsidP="00BB3BEF">
      <w:pPr>
        <w:rPr>
          <w:rFonts w:ascii="Times New Roman" w:hAnsi="Times New Roman" w:cs="Times New Roman"/>
          <w:u w:val="single"/>
        </w:rPr>
      </w:pPr>
      <w:r>
        <w:rPr>
          <w:rFonts w:ascii="Times New Roman" w:hAnsi="Times New Roman" w:cs="Times New Roman"/>
          <w:u w:val="single"/>
        </w:rPr>
        <w:t>____________________________________________________________________________</w:t>
      </w:r>
      <w:r w:rsidR="004758E7">
        <w:rPr>
          <w:rFonts w:ascii="Times New Roman" w:hAnsi="Times New Roman" w:cs="Times New Roman"/>
          <w:u w:val="single"/>
        </w:rPr>
        <w:t>_____________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42D490EB" w:rsidR="002177F1" w:rsidRDefault="00C81F8D" w:rsidP="004758E7">
      <w:pPr>
        <w:jc w:val="center"/>
        <w:rPr>
          <w:rFonts w:ascii="Times New Roman" w:hAnsi="Times New Roman" w:cs="Times New Roman"/>
          <w:sz w:val="40"/>
          <w:szCs w:val="40"/>
          <w:highlight w:val="yellow"/>
        </w:rPr>
      </w:pPr>
      <w:r w:rsidRPr="004758E7">
        <w:rPr>
          <w:rFonts w:ascii="Times New Roman" w:hAnsi="Times New Roman" w:cs="Times New Roman"/>
          <w:sz w:val="32"/>
          <w:szCs w:val="32"/>
          <w:highlight w:val="yellow"/>
        </w:rPr>
        <w:t xml:space="preserve">Min </w:t>
      </w:r>
      <w:r w:rsidR="00E72E58">
        <w:rPr>
          <w:rFonts w:ascii="Times New Roman" w:hAnsi="Times New Roman" w:cs="Times New Roman"/>
          <w:sz w:val="32"/>
          <w:szCs w:val="32"/>
          <w:highlight w:val="yellow"/>
        </w:rPr>
        <w:t>450</w:t>
      </w:r>
      <w:r w:rsidR="004758E7">
        <w:rPr>
          <w:rFonts w:ascii="Times New Roman" w:hAnsi="Times New Roman" w:cs="Times New Roman"/>
          <w:sz w:val="32"/>
          <w:szCs w:val="32"/>
          <w:highlight w:val="yellow"/>
        </w:rPr>
        <w:t xml:space="preserve"> </w:t>
      </w:r>
      <w:r w:rsidRPr="004758E7">
        <w:rPr>
          <w:rFonts w:ascii="Times New Roman" w:hAnsi="Times New Roman" w:cs="Times New Roman"/>
          <w:sz w:val="32"/>
          <w:szCs w:val="32"/>
          <w:highlight w:val="yellow"/>
        </w:rPr>
        <w:t>words -</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311BA797"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r w:rsidR="00855EAD">
        <w:rPr>
          <w:rFonts w:ascii="Times New Roman" w:hAnsi="Times New Roman" w:cs="Times New Roman"/>
          <w:sz w:val="22"/>
          <w:szCs w:val="22"/>
          <w:u w:val="single"/>
        </w:rPr>
        <w:t xml:space="preserve">Please use </w:t>
      </w:r>
      <w:r w:rsidR="003918EE">
        <w:rPr>
          <w:rFonts w:ascii="Times New Roman" w:hAnsi="Times New Roman" w:cs="Times New Roman"/>
          <w:sz w:val="22"/>
          <w:szCs w:val="22"/>
          <w:u w:val="single"/>
        </w:rPr>
        <w:t>below material to site ONLY</w:t>
      </w:r>
      <w:r w:rsidRPr="00AF6B4D">
        <w:rPr>
          <w:rFonts w:ascii="Times New Roman" w:hAnsi="Times New Roman" w:cs="Times New Roman"/>
          <w:sz w:val="22"/>
          <w:szCs w:val="22"/>
          <w:u w:val="single"/>
        </w:rPr>
        <w:t>)</w:t>
      </w:r>
    </w:p>
    <w:p w14:paraId="59F7FCD0" w14:textId="77777777" w:rsidR="00061B58" w:rsidRPr="00AF6B4D" w:rsidRDefault="00061B58" w:rsidP="00AF6B4D">
      <w:pPr>
        <w:jc w:val="both"/>
        <w:rPr>
          <w:rFonts w:ascii="Times New Roman" w:hAnsi="Times New Roman" w:cs="Times New Roman"/>
          <w:sz w:val="22"/>
          <w:szCs w:val="22"/>
        </w:rPr>
      </w:pPr>
    </w:p>
    <w:p w14:paraId="3A2D9429" w14:textId="7D843AF5" w:rsidR="004758E7" w:rsidRPr="00AF6B4D" w:rsidRDefault="00AF6B4D" w:rsidP="00AF6B4D">
      <w:pPr>
        <w:shd w:val="clear" w:color="auto" w:fill="FFFFFF"/>
        <w:jc w:val="both"/>
        <w:rPr>
          <w:rFonts w:ascii="Times New Roman" w:hAnsi="Times New Roman" w:cs="Times New Roman"/>
          <w:color w:val="000000"/>
          <w:sz w:val="22"/>
          <w:szCs w:val="22"/>
          <w:bdr w:val="none" w:sz="0" w:space="0" w:color="auto" w:frame="1"/>
        </w:rPr>
      </w:pPr>
      <w:r w:rsidRPr="00AF6B4D">
        <w:rPr>
          <w:rFonts w:ascii="Times New Roman" w:hAnsi="Times New Roman" w:cs="Times New Roman"/>
          <w:color w:val="000000"/>
          <w:sz w:val="22"/>
          <w:szCs w:val="22"/>
          <w:highlight w:val="yellow"/>
          <w:bdr w:val="none" w:sz="0" w:space="0" w:color="auto" w:frame="1"/>
        </w:rPr>
        <w:t xml:space="preserve">Book </w:t>
      </w:r>
      <w:r w:rsidR="004758E7" w:rsidRPr="00AF6B4D">
        <w:rPr>
          <w:rFonts w:ascii="Times New Roman" w:hAnsi="Times New Roman" w:cs="Times New Roman"/>
          <w:color w:val="000000"/>
          <w:sz w:val="22"/>
          <w:szCs w:val="22"/>
          <w:highlight w:val="yellow"/>
          <w:bdr w:val="none" w:sz="0" w:space="0" w:color="auto" w:frame="1"/>
        </w:rPr>
        <w:t>1</w:t>
      </w:r>
      <w:r w:rsidRPr="00AF6B4D">
        <w:rPr>
          <w:rFonts w:ascii="Times New Roman" w:hAnsi="Times New Roman" w:cs="Times New Roman"/>
          <w:color w:val="000000"/>
          <w:sz w:val="22"/>
          <w:szCs w:val="22"/>
          <w:highlight w:val="yellow"/>
          <w:bdr w:val="none" w:sz="0" w:space="0" w:color="auto" w:frame="1"/>
        </w:rPr>
        <w:t>:</w:t>
      </w:r>
      <w:r w:rsidR="004758E7" w:rsidRPr="00AF6B4D">
        <w:rPr>
          <w:rFonts w:ascii="Times New Roman" w:hAnsi="Times New Roman" w:cs="Times New Roman"/>
          <w:color w:val="000000"/>
          <w:sz w:val="22"/>
          <w:szCs w:val="22"/>
          <w:bdr w:val="none" w:sz="0" w:space="0" w:color="auto" w:frame="1"/>
        </w:rPr>
        <w:t xml:space="preserve"> </w:t>
      </w:r>
      <w:r w:rsidRPr="00AF6B4D">
        <w:rPr>
          <w:rFonts w:ascii="Times New Roman" w:hAnsi="Times New Roman" w:cs="Times New Roman"/>
          <w:color w:val="000000"/>
          <w:sz w:val="22"/>
          <w:szCs w:val="22"/>
          <w:bdr w:val="none" w:sz="0" w:space="0" w:color="auto" w:frame="1"/>
        </w:rPr>
        <w:t xml:space="preserve">     </w:t>
      </w:r>
      <w:r w:rsidR="00E72E58" w:rsidRPr="00AF6B4D">
        <w:rPr>
          <w:rFonts w:ascii="Times New Roman" w:hAnsi="Times New Roman" w:cs="Times New Roman"/>
          <w:i/>
          <w:iCs/>
          <w:color w:val="000000"/>
          <w:sz w:val="22"/>
          <w:szCs w:val="22"/>
          <w:bdr w:val="none" w:sz="0" w:space="0" w:color="auto" w:frame="1"/>
        </w:rPr>
        <w:t>Program Evaluation Theory and Practice: A Comprehensive Guide</w:t>
      </w:r>
      <w:r w:rsidR="00E72E58" w:rsidRPr="00AF6B4D">
        <w:rPr>
          <w:rFonts w:ascii="Times New Roman" w:hAnsi="Times New Roman" w:cs="Times New Roman"/>
          <w:color w:val="000000"/>
          <w:sz w:val="22"/>
          <w:szCs w:val="22"/>
          <w:bdr w:val="none" w:sz="0" w:space="0" w:color="auto" w:frame="1"/>
        </w:rPr>
        <w:t xml:space="preserve"> Donna M. Mertens &amp; Amy T. Wilson The Guilford Press, 2019 ISBN  978-1462532759</w:t>
      </w:r>
    </w:p>
    <w:p w14:paraId="17FF0CDA" w14:textId="77777777" w:rsidR="003918EE" w:rsidRDefault="003918EE" w:rsidP="0036080C">
      <w:pPr>
        <w:shd w:val="clear" w:color="auto" w:fill="FFFFFF"/>
        <w:jc w:val="both"/>
        <w:rPr>
          <w:rFonts w:ascii="Times New Roman" w:hAnsi="Times New Roman" w:cs="Times New Roman"/>
          <w:color w:val="000000"/>
          <w:sz w:val="22"/>
          <w:szCs w:val="22"/>
          <w:highlight w:val="yellow"/>
          <w:bdr w:val="none" w:sz="0" w:space="0" w:color="auto" w:frame="1"/>
        </w:rPr>
      </w:pPr>
    </w:p>
    <w:p w14:paraId="78E31B44" w14:textId="09BC4DBD" w:rsidR="0036080C" w:rsidRPr="0036080C" w:rsidRDefault="0036080C" w:rsidP="0036080C">
      <w:pPr>
        <w:shd w:val="clear" w:color="auto" w:fill="FFFFFF"/>
        <w:jc w:val="both"/>
        <w:rPr>
          <w:rFonts w:ascii="Times New Roman" w:hAnsi="Times New Roman" w:cs="Times New Roman"/>
          <w:color w:val="000000"/>
          <w:sz w:val="22"/>
          <w:szCs w:val="22"/>
          <w:bdr w:val="none" w:sz="0" w:space="0" w:color="auto" w:frame="1"/>
        </w:rPr>
      </w:pPr>
      <w:r w:rsidRPr="0036080C">
        <w:rPr>
          <w:rFonts w:ascii="Times New Roman" w:hAnsi="Times New Roman" w:cs="Times New Roman"/>
          <w:color w:val="000000"/>
          <w:sz w:val="22"/>
          <w:szCs w:val="22"/>
          <w:highlight w:val="yellow"/>
          <w:bdr w:val="none" w:sz="0" w:space="0" w:color="auto" w:frame="1"/>
        </w:rPr>
        <w:t>Ch 3:</w:t>
      </w:r>
      <w:r w:rsidRPr="0036080C">
        <w:rPr>
          <w:rFonts w:ascii="Times New Roman" w:hAnsi="Times New Roman" w:cs="Times New Roman"/>
          <w:color w:val="000000"/>
          <w:sz w:val="22"/>
          <w:szCs w:val="22"/>
          <w:bdr w:val="none" w:sz="0" w:space="0" w:color="auto" w:frame="1"/>
        </w:rPr>
        <w:t xml:space="preserve"> The Postpositivist Paradigm and the Methods Branch (</w:t>
      </w:r>
      <w:proofErr w:type="spellStart"/>
      <w:r w:rsidRPr="0036080C">
        <w:rPr>
          <w:rFonts w:ascii="Times New Roman" w:hAnsi="Times New Roman" w:cs="Times New Roman"/>
          <w:color w:val="000000"/>
          <w:sz w:val="22"/>
          <w:szCs w:val="22"/>
          <w:bdr w:val="none" w:sz="0" w:space="0" w:color="auto" w:frame="1"/>
        </w:rPr>
        <w:t>Mertons</w:t>
      </w:r>
      <w:proofErr w:type="spellEnd"/>
      <w:r w:rsidRPr="0036080C">
        <w:rPr>
          <w:rFonts w:ascii="Times New Roman" w:hAnsi="Times New Roman" w:cs="Times New Roman"/>
          <w:color w:val="000000"/>
          <w:sz w:val="22"/>
          <w:szCs w:val="22"/>
          <w:bdr w:val="none" w:sz="0" w:space="0" w:color="auto" w:frame="1"/>
        </w:rPr>
        <w:t xml:space="preserve"> &amp; Wilson, 2019)</w:t>
      </w:r>
    </w:p>
    <w:p w14:paraId="3B9A05D3" w14:textId="77777777" w:rsidR="0036080C" w:rsidRPr="0036080C" w:rsidRDefault="0036080C" w:rsidP="0036080C">
      <w:pPr>
        <w:shd w:val="clear" w:color="auto" w:fill="FFFFFF"/>
        <w:jc w:val="both"/>
        <w:rPr>
          <w:rFonts w:ascii="Times New Roman" w:hAnsi="Times New Roman" w:cs="Times New Roman"/>
          <w:color w:val="000000"/>
          <w:sz w:val="22"/>
          <w:szCs w:val="22"/>
          <w:bdr w:val="none" w:sz="0" w:space="0" w:color="auto" w:frame="1"/>
        </w:rPr>
      </w:pPr>
    </w:p>
    <w:p w14:paraId="1EDE4EE3" w14:textId="77777777" w:rsidR="0036080C" w:rsidRPr="0036080C" w:rsidRDefault="0036080C" w:rsidP="0036080C">
      <w:pPr>
        <w:shd w:val="clear" w:color="auto" w:fill="FFFFFF"/>
        <w:jc w:val="both"/>
        <w:rPr>
          <w:rFonts w:ascii="Times New Roman" w:hAnsi="Times New Roman" w:cs="Times New Roman"/>
          <w:color w:val="000000"/>
          <w:sz w:val="22"/>
          <w:szCs w:val="22"/>
          <w:bdr w:val="none" w:sz="0" w:space="0" w:color="auto" w:frame="1"/>
        </w:rPr>
      </w:pPr>
      <w:r w:rsidRPr="0036080C">
        <w:rPr>
          <w:rFonts w:ascii="Times New Roman" w:hAnsi="Times New Roman" w:cs="Times New Roman"/>
          <w:color w:val="000000"/>
          <w:sz w:val="22"/>
          <w:szCs w:val="22"/>
          <w:highlight w:val="yellow"/>
          <w:bdr w:val="none" w:sz="0" w:space="0" w:color="auto" w:frame="1"/>
        </w:rPr>
        <w:t>Ch 4:</w:t>
      </w:r>
      <w:r w:rsidRPr="0036080C">
        <w:rPr>
          <w:rFonts w:ascii="Times New Roman" w:hAnsi="Times New Roman" w:cs="Times New Roman"/>
          <w:color w:val="000000"/>
          <w:sz w:val="22"/>
          <w:szCs w:val="22"/>
          <w:bdr w:val="none" w:sz="0" w:space="0" w:color="auto" w:frame="1"/>
        </w:rPr>
        <w:t xml:space="preserve"> The Pragmatic Paradigm and the Use Branch (</w:t>
      </w:r>
      <w:proofErr w:type="spellStart"/>
      <w:r w:rsidRPr="0036080C">
        <w:rPr>
          <w:rFonts w:ascii="Times New Roman" w:hAnsi="Times New Roman" w:cs="Times New Roman"/>
          <w:color w:val="000000"/>
          <w:sz w:val="22"/>
          <w:szCs w:val="22"/>
          <w:bdr w:val="none" w:sz="0" w:space="0" w:color="auto" w:frame="1"/>
        </w:rPr>
        <w:t>Mertons</w:t>
      </w:r>
      <w:proofErr w:type="spellEnd"/>
      <w:r w:rsidRPr="0036080C">
        <w:rPr>
          <w:rFonts w:ascii="Times New Roman" w:hAnsi="Times New Roman" w:cs="Times New Roman"/>
          <w:color w:val="000000"/>
          <w:sz w:val="22"/>
          <w:szCs w:val="22"/>
          <w:bdr w:val="none" w:sz="0" w:space="0" w:color="auto" w:frame="1"/>
        </w:rPr>
        <w:t xml:space="preserve"> &amp; Wilson, 2019)</w:t>
      </w:r>
    </w:p>
    <w:p w14:paraId="51852F22" w14:textId="77777777" w:rsidR="0036080C" w:rsidRPr="0036080C" w:rsidRDefault="0036080C" w:rsidP="0036080C">
      <w:pPr>
        <w:shd w:val="clear" w:color="auto" w:fill="FFFFFF"/>
        <w:jc w:val="both"/>
        <w:rPr>
          <w:rFonts w:ascii="Times New Roman" w:hAnsi="Times New Roman" w:cs="Times New Roman"/>
          <w:color w:val="000000"/>
          <w:sz w:val="22"/>
          <w:szCs w:val="22"/>
          <w:bdr w:val="none" w:sz="0" w:space="0" w:color="auto" w:frame="1"/>
        </w:rPr>
      </w:pPr>
    </w:p>
    <w:p w14:paraId="7D6E0EEE" w14:textId="77777777" w:rsidR="0036080C" w:rsidRPr="0036080C" w:rsidRDefault="0036080C" w:rsidP="0036080C">
      <w:pPr>
        <w:shd w:val="clear" w:color="auto" w:fill="FFFFFF"/>
        <w:jc w:val="both"/>
        <w:rPr>
          <w:rFonts w:ascii="Times New Roman" w:hAnsi="Times New Roman" w:cs="Times New Roman"/>
          <w:color w:val="000000"/>
          <w:sz w:val="22"/>
          <w:szCs w:val="22"/>
          <w:bdr w:val="none" w:sz="0" w:space="0" w:color="auto" w:frame="1"/>
        </w:rPr>
      </w:pPr>
      <w:r w:rsidRPr="0036080C">
        <w:rPr>
          <w:rFonts w:ascii="Times New Roman" w:hAnsi="Times New Roman" w:cs="Times New Roman"/>
          <w:color w:val="000000"/>
          <w:sz w:val="22"/>
          <w:szCs w:val="22"/>
          <w:highlight w:val="yellow"/>
          <w:bdr w:val="none" w:sz="0" w:space="0" w:color="auto" w:frame="1"/>
        </w:rPr>
        <w:t>Ch 5:</w:t>
      </w:r>
      <w:r w:rsidRPr="0036080C">
        <w:rPr>
          <w:rFonts w:ascii="Times New Roman" w:hAnsi="Times New Roman" w:cs="Times New Roman"/>
          <w:color w:val="000000"/>
          <w:sz w:val="22"/>
          <w:szCs w:val="22"/>
          <w:bdr w:val="none" w:sz="0" w:space="0" w:color="auto" w:frame="1"/>
        </w:rPr>
        <w:t xml:space="preserve"> The Constructivist Paradigm and the Values Branch (</w:t>
      </w:r>
      <w:proofErr w:type="spellStart"/>
      <w:r w:rsidRPr="0036080C">
        <w:rPr>
          <w:rFonts w:ascii="Times New Roman" w:hAnsi="Times New Roman" w:cs="Times New Roman"/>
          <w:color w:val="000000"/>
          <w:sz w:val="22"/>
          <w:szCs w:val="22"/>
          <w:bdr w:val="none" w:sz="0" w:space="0" w:color="auto" w:frame="1"/>
        </w:rPr>
        <w:t>Mertons</w:t>
      </w:r>
      <w:proofErr w:type="spellEnd"/>
      <w:r w:rsidRPr="0036080C">
        <w:rPr>
          <w:rFonts w:ascii="Times New Roman" w:hAnsi="Times New Roman" w:cs="Times New Roman"/>
          <w:color w:val="000000"/>
          <w:sz w:val="22"/>
          <w:szCs w:val="22"/>
          <w:bdr w:val="none" w:sz="0" w:space="0" w:color="auto" w:frame="1"/>
        </w:rPr>
        <w:t xml:space="preserve"> &amp; Wilson, 2019)</w:t>
      </w:r>
    </w:p>
    <w:p w14:paraId="023FA9AA" w14:textId="77777777" w:rsidR="0036080C" w:rsidRPr="0036080C" w:rsidRDefault="0036080C" w:rsidP="0036080C">
      <w:pPr>
        <w:shd w:val="clear" w:color="auto" w:fill="FFFFFF"/>
        <w:jc w:val="both"/>
        <w:rPr>
          <w:rFonts w:ascii="Times New Roman" w:hAnsi="Times New Roman" w:cs="Times New Roman"/>
          <w:color w:val="000000"/>
          <w:sz w:val="22"/>
          <w:szCs w:val="22"/>
          <w:bdr w:val="none" w:sz="0" w:space="0" w:color="auto" w:frame="1"/>
        </w:rPr>
      </w:pPr>
    </w:p>
    <w:p w14:paraId="7C46949C" w14:textId="7D8557EA" w:rsidR="00AF6B4D" w:rsidRDefault="0036080C" w:rsidP="0036080C">
      <w:pPr>
        <w:shd w:val="clear" w:color="auto" w:fill="FFFFFF"/>
        <w:jc w:val="both"/>
        <w:rPr>
          <w:rFonts w:ascii="Times New Roman" w:hAnsi="Times New Roman" w:cs="Times New Roman"/>
          <w:color w:val="000000"/>
          <w:sz w:val="22"/>
          <w:szCs w:val="22"/>
          <w:bdr w:val="none" w:sz="0" w:space="0" w:color="auto" w:frame="1"/>
        </w:rPr>
      </w:pPr>
      <w:r w:rsidRPr="0036080C">
        <w:rPr>
          <w:rFonts w:ascii="Times New Roman" w:hAnsi="Times New Roman" w:cs="Times New Roman"/>
          <w:color w:val="000000"/>
          <w:sz w:val="22"/>
          <w:szCs w:val="22"/>
          <w:highlight w:val="yellow"/>
          <w:bdr w:val="none" w:sz="0" w:space="0" w:color="auto" w:frame="1"/>
        </w:rPr>
        <w:t>Ch 6:</w:t>
      </w:r>
      <w:r w:rsidRPr="0036080C">
        <w:rPr>
          <w:rFonts w:ascii="Times New Roman" w:hAnsi="Times New Roman" w:cs="Times New Roman"/>
          <w:color w:val="000000"/>
          <w:sz w:val="22"/>
          <w:szCs w:val="22"/>
          <w:bdr w:val="none" w:sz="0" w:space="0" w:color="auto" w:frame="1"/>
        </w:rPr>
        <w:t xml:space="preserve"> The Transformative Paradigm and the Social Justice Branch (</w:t>
      </w:r>
      <w:proofErr w:type="spellStart"/>
      <w:r w:rsidRPr="0036080C">
        <w:rPr>
          <w:rFonts w:ascii="Times New Roman" w:hAnsi="Times New Roman" w:cs="Times New Roman"/>
          <w:color w:val="000000"/>
          <w:sz w:val="22"/>
          <w:szCs w:val="22"/>
          <w:bdr w:val="none" w:sz="0" w:space="0" w:color="auto" w:frame="1"/>
        </w:rPr>
        <w:t>Mertons</w:t>
      </w:r>
      <w:proofErr w:type="spellEnd"/>
      <w:r w:rsidRPr="0036080C">
        <w:rPr>
          <w:rFonts w:ascii="Times New Roman" w:hAnsi="Times New Roman" w:cs="Times New Roman"/>
          <w:color w:val="000000"/>
          <w:sz w:val="22"/>
          <w:szCs w:val="22"/>
          <w:bdr w:val="none" w:sz="0" w:space="0" w:color="auto" w:frame="1"/>
        </w:rPr>
        <w:t xml:space="preserve"> &amp; Wilson, 2019)</w:t>
      </w:r>
    </w:p>
    <w:p w14:paraId="7F8AB7AC" w14:textId="77777777" w:rsidR="0036080C" w:rsidRPr="00AF6B4D" w:rsidRDefault="0036080C" w:rsidP="0036080C">
      <w:pPr>
        <w:shd w:val="clear" w:color="auto" w:fill="FFFFFF"/>
        <w:jc w:val="both"/>
        <w:rPr>
          <w:rFonts w:ascii="Times New Roman" w:hAnsi="Times New Roman" w:cs="Times New Roman"/>
          <w:color w:val="000000"/>
          <w:sz w:val="22"/>
          <w:szCs w:val="22"/>
          <w:bdr w:val="none" w:sz="0" w:space="0" w:color="auto" w:frame="1"/>
        </w:rPr>
      </w:pPr>
    </w:p>
    <w:p w14:paraId="30277EB0" w14:textId="77777777" w:rsidR="00AF6B4D" w:rsidRPr="00AF6B4D" w:rsidRDefault="00AF6B4D" w:rsidP="00AF6B4D">
      <w:pPr>
        <w:jc w:val="both"/>
        <w:rPr>
          <w:rFonts w:ascii="Times New Roman" w:hAnsi="Times New Roman" w:cs="Times New Roman"/>
          <w:sz w:val="22"/>
          <w:szCs w:val="22"/>
        </w:rPr>
      </w:pPr>
    </w:p>
    <w:p w14:paraId="4DD38650" w14:textId="1C126BBF" w:rsidR="00AF6B4D"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rPr>
        <w:t xml:space="preserve"> </w:t>
      </w:r>
    </w:p>
    <w:sectPr w:rsidR="00AF6B4D" w:rsidRPr="00AF6B4D"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177F1"/>
    <w:rsid w:val="002B11F8"/>
    <w:rsid w:val="0036080C"/>
    <w:rsid w:val="003918EE"/>
    <w:rsid w:val="003E279F"/>
    <w:rsid w:val="004758E7"/>
    <w:rsid w:val="005219FA"/>
    <w:rsid w:val="005B1D04"/>
    <w:rsid w:val="006B14CA"/>
    <w:rsid w:val="006B26BF"/>
    <w:rsid w:val="00727718"/>
    <w:rsid w:val="007A6BD6"/>
    <w:rsid w:val="00855EAD"/>
    <w:rsid w:val="009244B8"/>
    <w:rsid w:val="0099089E"/>
    <w:rsid w:val="009A0317"/>
    <w:rsid w:val="009A2441"/>
    <w:rsid w:val="009B1B0F"/>
    <w:rsid w:val="00A27305"/>
    <w:rsid w:val="00A36FAB"/>
    <w:rsid w:val="00AF6B4D"/>
    <w:rsid w:val="00BB3BEF"/>
    <w:rsid w:val="00C1059D"/>
    <w:rsid w:val="00C46AD5"/>
    <w:rsid w:val="00C7719D"/>
    <w:rsid w:val="00C81F8D"/>
    <w:rsid w:val="00CF033E"/>
    <w:rsid w:val="00CF4429"/>
    <w:rsid w:val="00D10729"/>
    <w:rsid w:val="00D629B6"/>
    <w:rsid w:val="00DB2693"/>
    <w:rsid w:val="00E71589"/>
    <w:rsid w:val="00E72E58"/>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0397684">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2020-06-08T21:49:00Z</dcterms:created>
  <dcterms:modified xsi:type="dcterms:W3CDTF">2020-06-08T21:49:00Z</dcterms:modified>
  <cp:category/>
</cp:coreProperties>
</file>